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07501">
      <w:pPr>
        <w:spacing w:line="552" w:lineRule="exact"/>
        <w:rPr>
          <w:rFonts w:hint="eastAsia" w:ascii="宋体" w:hAnsi="宋体" w:cs="Arial"/>
          <w:b/>
          <w:bCs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Cs w:val="32"/>
        </w:rPr>
        <w:t>附件</w:t>
      </w:r>
    </w:p>
    <w:p w14:paraId="5B04D9F1">
      <w:pPr>
        <w:spacing w:line="552" w:lineRule="exact"/>
        <w:ind w:firstLine="883" w:firstLineChars="200"/>
        <w:jc w:val="center"/>
        <w:outlineLvl w:val="0"/>
        <w:rPr>
          <w:rFonts w:hint="eastAsia" w:ascii="楷体_GB2312" w:hAnsi="仿宋" w:eastAsia="楷体_GB2312"/>
          <w:color w:val="auto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项目支出绩效评价报告</w:t>
      </w:r>
    </w:p>
    <w:p w14:paraId="79A3ABCA">
      <w:pPr>
        <w:spacing w:line="552" w:lineRule="exact"/>
        <w:ind w:firstLine="640" w:firstLineChars="200"/>
        <w:rPr>
          <w:rFonts w:hint="eastAsia" w:ascii="黑体" w:hAnsi="仿宋" w:eastAsia="黑体"/>
          <w:color w:val="auto"/>
          <w:szCs w:val="32"/>
        </w:rPr>
      </w:pPr>
      <w:r>
        <w:rPr>
          <w:rFonts w:hint="eastAsia" w:ascii="黑体" w:hAnsi="仿宋" w:eastAsia="黑体"/>
          <w:color w:val="auto"/>
          <w:szCs w:val="32"/>
        </w:rPr>
        <w:t>一、基本情况</w:t>
      </w:r>
    </w:p>
    <w:p w14:paraId="57D75D79">
      <w:pPr>
        <w:spacing w:line="552" w:lineRule="exact"/>
        <w:ind w:firstLine="640" w:firstLineChars="200"/>
        <w:outlineLvl w:val="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（一）项目概况。包括项目背景、主要内容及实施情况、资金投入和使用情况等。</w:t>
      </w:r>
    </w:p>
    <w:p w14:paraId="48CC01CD">
      <w:pPr>
        <w:pStyle w:val="2"/>
        <w:spacing w:before="0" w:beforeAutospacing="0" w:after="0" w:afterAutospacing="0" w:line="560" w:lineRule="exact"/>
        <w:ind w:firstLine="645"/>
        <w:rPr>
          <w:rFonts w:hint="eastAsia" w:ascii="仿宋" w:hAnsi="仿宋" w:eastAsia="仿宋" w:cs="黑体"/>
          <w:color w:val="auto"/>
          <w:sz w:val="32"/>
          <w:szCs w:val="32"/>
        </w:rPr>
      </w:pPr>
      <w:r>
        <w:rPr>
          <w:rFonts w:ascii="仿宋" w:hAnsi="仿宋" w:eastAsia="仿宋" w:cs="黑体"/>
          <w:color w:val="auto"/>
          <w:sz w:val="32"/>
          <w:szCs w:val="32"/>
        </w:rPr>
        <w:t>项目概述如下：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该项目属于经常性项目，主要用于保障2025年度</w:t>
      </w:r>
      <w:r>
        <w:rPr>
          <w:rFonts w:hint="eastAsia" w:ascii="仿宋" w:hAnsi="仿宋" w:eastAsia="仿宋" w:cs="黑体"/>
          <w:color w:val="auto"/>
          <w:sz w:val="32"/>
          <w:szCs w:val="32"/>
          <w:lang w:eastAsia="zh-CN"/>
        </w:rPr>
        <w:t>学校正常运行，支付临聘教师的工资以及班主任工作经费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。</w:t>
      </w:r>
      <w:r>
        <w:rPr>
          <w:rFonts w:ascii="仿宋" w:hAnsi="仿宋" w:eastAsia="仿宋" w:cs="黑体"/>
          <w:color w:val="auto"/>
          <w:sz w:val="32"/>
          <w:szCs w:val="32"/>
        </w:rPr>
        <w:t xml:space="preserve"> </w:t>
      </w:r>
    </w:p>
    <w:p w14:paraId="0DB121CF">
      <w:pPr>
        <w:spacing w:line="552" w:lineRule="exact"/>
        <w:ind w:firstLine="640" w:firstLineChars="200"/>
        <w:rPr>
          <w:rFonts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截至2025年12月末，资金下达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544.80万</w:t>
      </w:r>
      <w:r>
        <w:rPr>
          <w:rFonts w:hint="eastAsia" w:hAnsi="仿宋"/>
          <w:color w:val="auto"/>
          <w:szCs w:val="32"/>
        </w:rPr>
        <w:t>元，资金已支付</w:t>
      </w:r>
      <w:r>
        <w:rPr>
          <w:rFonts w:hint="eastAsia"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92.97万</w:t>
      </w:r>
      <w:r>
        <w:rPr>
          <w:rFonts w:hint="eastAsia" w:ascii="仿宋" w:hAnsi="仿宋" w:eastAsia="仿宋"/>
          <w:color w:val="auto"/>
          <w:szCs w:val="32"/>
        </w:rPr>
        <w:t>元</w:t>
      </w:r>
      <w:r>
        <w:rPr>
          <w:rFonts w:hint="eastAsia" w:hAnsi="仿宋"/>
          <w:color w:val="auto"/>
          <w:szCs w:val="32"/>
        </w:rPr>
        <w:t>，完成率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90.49</w:t>
      </w:r>
      <w:r>
        <w:rPr>
          <w:rFonts w:ascii="仿宋" w:hAnsi="仿宋" w:eastAsia="仿宋"/>
          <w:color w:val="auto"/>
          <w:szCs w:val="32"/>
        </w:rPr>
        <w:t>%</w:t>
      </w:r>
      <w:r>
        <w:rPr>
          <w:rFonts w:hint="eastAsia" w:hAnsi="仿宋"/>
          <w:color w:val="auto"/>
          <w:szCs w:val="32"/>
        </w:rPr>
        <w:t>。</w:t>
      </w:r>
    </w:p>
    <w:p w14:paraId="2F45382F">
      <w:pPr>
        <w:spacing w:line="552" w:lineRule="exact"/>
        <w:ind w:firstLine="480" w:firstLineChars="15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（二）项目绩效目标。包括总体目标和阶段性目标。</w:t>
      </w:r>
    </w:p>
    <w:p w14:paraId="5998E363">
      <w:pPr>
        <w:pStyle w:val="2"/>
        <w:spacing w:before="0" w:beforeAutospacing="0" w:after="0" w:afterAutospacing="0" w:line="560" w:lineRule="exact"/>
        <w:ind w:firstLine="645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 w:cs="黑体"/>
          <w:color w:val="auto"/>
          <w:sz w:val="32"/>
          <w:szCs w:val="32"/>
        </w:rPr>
        <w:t>总体目标：</w:t>
      </w:r>
      <w:r>
        <w:rPr>
          <w:rFonts w:ascii="仿宋" w:hAnsi="仿宋" w:eastAsia="仿宋"/>
          <w:color w:val="auto"/>
          <w:sz w:val="32"/>
          <w:szCs w:val="32"/>
        </w:rPr>
        <w:t>保障</w:t>
      </w:r>
      <w:bookmarkStart w:id="0" w:name="_GoBack"/>
      <w:bookmarkEnd w:id="0"/>
      <w:r>
        <w:rPr>
          <w:rFonts w:hint="eastAsia" w:ascii="仿宋" w:hAnsi="仿宋" w:eastAsia="仿宋" w:cs="黑体"/>
          <w:color w:val="auto"/>
          <w:sz w:val="32"/>
          <w:szCs w:val="32"/>
          <w:lang w:eastAsia="zh-CN"/>
        </w:rPr>
        <w:t>临聘教师</w:t>
      </w:r>
      <w:r>
        <w:rPr>
          <w:rFonts w:ascii="仿宋" w:hAnsi="仿宋" w:eastAsia="仿宋"/>
          <w:color w:val="auto"/>
          <w:sz w:val="32"/>
          <w:szCs w:val="32"/>
        </w:rPr>
        <w:t>工资福利和</w:t>
      </w:r>
      <w:r>
        <w:rPr>
          <w:rFonts w:hint="eastAsia" w:ascii="仿宋" w:hAnsi="仿宋" w:eastAsia="仿宋" w:cs="黑体"/>
          <w:color w:val="auto"/>
          <w:sz w:val="32"/>
          <w:szCs w:val="32"/>
          <w:lang w:eastAsia="zh-CN"/>
        </w:rPr>
        <w:t>班主任工作经费正常发放，维持学校正常运转。</w:t>
      </w:r>
    </w:p>
    <w:p w14:paraId="60A4BD9A">
      <w:pPr>
        <w:pStyle w:val="2"/>
        <w:spacing w:before="0" w:beforeAutospacing="0" w:after="0" w:afterAutospacing="0" w:line="560" w:lineRule="exact"/>
        <w:ind w:firstLine="645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 w:cs="黑体"/>
          <w:color w:val="auto"/>
          <w:sz w:val="32"/>
          <w:szCs w:val="32"/>
        </w:rPr>
        <w:t>202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5</w:t>
      </w:r>
      <w:r>
        <w:rPr>
          <w:rFonts w:ascii="仿宋" w:hAnsi="仿宋" w:eastAsia="仿宋" w:cs="黑体"/>
          <w:color w:val="auto"/>
          <w:sz w:val="32"/>
          <w:szCs w:val="32"/>
        </w:rPr>
        <w:t>年年度目标</w:t>
      </w:r>
      <w:r>
        <w:rPr>
          <w:rFonts w:hint="eastAsia" w:ascii="仿宋" w:hAnsi="仿宋" w:eastAsia="仿宋" w:cs="黑体"/>
          <w:color w:val="auto"/>
          <w:sz w:val="32"/>
          <w:szCs w:val="32"/>
          <w:lang w:eastAsia="zh-CN"/>
        </w:rPr>
        <w:t>是临聘教师</w:t>
      </w:r>
      <w:r>
        <w:rPr>
          <w:rFonts w:ascii="仿宋" w:hAnsi="仿宋" w:eastAsia="仿宋"/>
          <w:color w:val="auto"/>
          <w:sz w:val="32"/>
          <w:szCs w:val="32"/>
        </w:rPr>
        <w:t>工资和</w:t>
      </w:r>
      <w:r>
        <w:rPr>
          <w:rFonts w:hint="eastAsia" w:ascii="仿宋" w:hAnsi="仿宋" w:eastAsia="仿宋" w:cs="黑体"/>
          <w:color w:val="auto"/>
          <w:sz w:val="32"/>
          <w:szCs w:val="32"/>
          <w:lang w:eastAsia="zh-CN"/>
        </w:rPr>
        <w:t>班主任工作经费正常发放，维持学校正常运转。每月按时发放临聘教师工资，每学期按时发放班主任工作经费。</w:t>
      </w:r>
    </w:p>
    <w:p w14:paraId="0F38A972">
      <w:pPr>
        <w:spacing w:line="552" w:lineRule="exact"/>
        <w:ind w:firstLine="640" w:firstLineChars="200"/>
        <w:rPr>
          <w:rFonts w:hint="eastAsia" w:ascii="黑体" w:hAnsi="仿宋" w:eastAsia="黑体"/>
          <w:color w:val="auto"/>
          <w:szCs w:val="32"/>
        </w:rPr>
      </w:pPr>
      <w:r>
        <w:rPr>
          <w:rFonts w:hint="eastAsia" w:ascii="黑体" w:hAnsi="仿宋" w:eastAsia="黑体"/>
          <w:color w:val="auto"/>
          <w:szCs w:val="32"/>
        </w:rPr>
        <w:t>二、绩效评价工作开展情况</w:t>
      </w:r>
    </w:p>
    <w:p w14:paraId="2033C01F">
      <w:pPr>
        <w:spacing w:line="552" w:lineRule="exact"/>
        <w:ind w:firstLine="640" w:firstLineChars="20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（一）绩效评价目的、对象和范围。</w:t>
      </w:r>
    </w:p>
    <w:p w14:paraId="6E1AEFBA">
      <w:pPr>
        <w:pStyle w:val="2"/>
        <w:shd w:val="clear" w:color="auto" w:fill="FFFFFF"/>
        <w:spacing w:before="0" w:beforeAutospacing="0" w:after="0" w:afterAutospacing="0" w:line="560" w:lineRule="exact"/>
        <w:ind w:firstLine="600"/>
        <w:jc w:val="both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  <w:shd w:val="clear" w:color="auto" w:fill="FFFFFF"/>
          <w:lang w:bidi="ar"/>
        </w:rPr>
        <w:t>绩效评价的目的是根据年初设定的绩效目标，运用科学合理的绩效评价指标、评价标准和评价方法，对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bidi="ar"/>
        </w:rPr>
        <w:t>教师队伍建设</w:t>
      </w:r>
      <w:r>
        <w:rPr>
          <w:rFonts w:ascii="仿宋" w:hAnsi="仿宋" w:eastAsia="仿宋" w:cs="仿宋"/>
          <w:color w:val="auto"/>
          <w:sz w:val="32"/>
          <w:szCs w:val="32"/>
          <w:shd w:val="clear" w:color="auto" w:fill="FFFFFF"/>
          <w:lang w:bidi="ar"/>
        </w:rPr>
        <w:t>项目支出的经济性、效率性和效益性进行客观、公正的评价。绩效评价的对象是纳入市级财政预算管理的</w:t>
      </w:r>
      <w:r>
        <w:rPr>
          <w:rFonts w:ascii="仿宋" w:hAnsi="仿宋" w:eastAsia="仿宋" w:cs="黑体"/>
          <w:color w:val="auto"/>
          <w:sz w:val="32"/>
          <w:szCs w:val="32"/>
        </w:rPr>
        <w:t>综合事务</w:t>
      </w:r>
      <w:r>
        <w:rPr>
          <w:rFonts w:ascii="仿宋" w:hAnsi="仿宋" w:eastAsia="仿宋" w:cs="仿宋"/>
          <w:color w:val="auto"/>
          <w:sz w:val="32"/>
          <w:szCs w:val="32"/>
        </w:rPr>
        <w:t>项目</w:t>
      </w:r>
      <w:r>
        <w:rPr>
          <w:rFonts w:ascii="仿宋" w:hAnsi="仿宋" w:eastAsia="仿宋" w:cs="仿宋"/>
          <w:color w:val="auto"/>
          <w:sz w:val="32"/>
          <w:szCs w:val="32"/>
          <w:shd w:val="clear" w:color="auto" w:fill="FFFFFF"/>
          <w:lang w:bidi="ar"/>
        </w:rPr>
        <w:t>支出资金。绩效评价的范围：一是财政资金使用情况、财务管理状况；二是绩效目标的实现程度，包括是否达到预定产出和效果等。</w:t>
      </w:r>
    </w:p>
    <w:p w14:paraId="00803B42">
      <w:pPr>
        <w:spacing w:line="552" w:lineRule="exact"/>
        <w:ind w:firstLine="640" w:firstLineChars="20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（二）绩效评价原则、评价指标体系（附表说明）、评价方法、评价标准等。</w:t>
      </w:r>
    </w:p>
    <w:p w14:paraId="0C1F3E18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绩效评价的原则：一是科学规范原则。绩效评价注重财政支出的经济性、效率性和有效性，严格执行规定的程序，采用定量与定性分析相结合的方法。二是公正公开原则。坚持客观公正，标准统一、资料可靠，依法公开并接受监督。三是分级分类原则。绩效评估由市级财政部门、相关单位根据评价对象的特点分类组织实施。四是绩效相关原则。绩效评价针对具体支出及其产出绩效进行，评价结果应清晰反映支出与产出绩效之间的紧密对应关系。</w:t>
      </w:r>
    </w:p>
    <w:p w14:paraId="67437392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bidi="ar"/>
        </w:rPr>
        <w:t>教师队伍建设</w:t>
      </w:r>
      <w:r>
        <w:rPr>
          <w:rFonts w:hint="eastAsia" w:ascii="仿宋" w:hAnsi="仿宋" w:eastAsia="仿宋" w:cs="仿宋"/>
          <w:color w:val="auto"/>
          <w:szCs w:val="32"/>
        </w:rPr>
        <w:t>项目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支出绩效评价指标体系一级指标为产出指标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效益指标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、满意度指标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，二级指标为质量指标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、经济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效益指标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、服务对象满意度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，三级指标为岗位服务质量考核达标率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、班主任工作经费使用达标率、教师队伍建设稳定性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，指标性质为≥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、≥、定性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，评价标准年度指标值为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“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90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”、“90”、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“好坏”</w:t>
      </w:r>
      <w:r>
        <w:rPr>
          <w:rFonts w:hint="eastAsia" w:ascii="仿宋" w:hAnsi="仿宋" w:eastAsia="仿宋" w:cs="仿宋"/>
          <w:color w:val="auto"/>
          <w:kern w:val="0"/>
          <w:szCs w:val="32"/>
          <w:lang w:eastAsia="zh-CN" w:bidi="ar"/>
        </w:rPr>
        <w:t>。度量单位：%。（详见表格）</w:t>
      </w:r>
    </w:p>
    <w:tbl>
      <w:tblPr>
        <w:tblStyle w:val="4"/>
        <w:tblW w:w="8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702"/>
        <w:gridCol w:w="2018"/>
        <w:gridCol w:w="846"/>
        <w:gridCol w:w="1159"/>
        <w:gridCol w:w="1200"/>
      </w:tblGrid>
      <w:tr w14:paraId="6A6A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42" w:hRule="atLeast"/>
        </w:trPr>
        <w:tc>
          <w:tcPr>
            <w:tcW w:w="1420" w:type="dxa"/>
          </w:tcPr>
          <w:p w14:paraId="410057BC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一级指标</w:t>
            </w:r>
          </w:p>
        </w:tc>
        <w:tc>
          <w:tcPr>
            <w:tcW w:w="1702" w:type="dxa"/>
          </w:tcPr>
          <w:p w14:paraId="7CCA2655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二级指标</w:t>
            </w:r>
          </w:p>
        </w:tc>
        <w:tc>
          <w:tcPr>
            <w:tcW w:w="2018" w:type="dxa"/>
          </w:tcPr>
          <w:p w14:paraId="053087EC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三级指标</w:t>
            </w:r>
          </w:p>
        </w:tc>
        <w:tc>
          <w:tcPr>
            <w:tcW w:w="846" w:type="dxa"/>
          </w:tcPr>
          <w:p w14:paraId="5380A2F9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指标性质</w:t>
            </w:r>
          </w:p>
        </w:tc>
        <w:tc>
          <w:tcPr>
            <w:tcW w:w="1159" w:type="dxa"/>
          </w:tcPr>
          <w:p w14:paraId="5AD6D6C7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年度指标值</w:t>
            </w:r>
          </w:p>
        </w:tc>
        <w:tc>
          <w:tcPr>
            <w:tcW w:w="1200" w:type="dxa"/>
          </w:tcPr>
          <w:p w14:paraId="17625461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度量单位</w:t>
            </w:r>
          </w:p>
        </w:tc>
      </w:tr>
      <w:tr w14:paraId="211E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E5C5DCC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产出指标</w:t>
            </w:r>
          </w:p>
        </w:tc>
        <w:tc>
          <w:tcPr>
            <w:tcW w:w="1702" w:type="dxa"/>
          </w:tcPr>
          <w:p w14:paraId="43E9CF92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质量指标</w:t>
            </w:r>
          </w:p>
        </w:tc>
        <w:tc>
          <w:tcPr>
            <w:tcW w:w="2018" w:type="dxa"/>
          </w:tcPr>
          <w:p w14:paraId="3F7D7278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岗位服务质量考核达标率</w:t>
            </w:r>
          </w:p>
        </w:tc>
        <w:tc>
          <w:tcPr>
            <w:tcW w:w="846" w:type="dxa"/>
          </w:tcPr>
          <w:p w14:paraId="16C9A0E2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≥</w:t>
            </w:r>
          </w:p>
        </w:tc>
        <w:tc>
          <w:tcPr>
            <w:tcW w:w="1159" w:type="dxa"/>
          </w:tcPr>
          <w:p w14:paraId="5C9A7B4F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90</w:t>
            </w:r>
          </w:p>
        </w:tc>
        <w:tc>
          <w:tcPr>
            <w:tcW w:w="1200" w:type="dxa"/>
          </w:tcPr>
          <w:p w14:paraId="611E66DB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%</w:t>
            </w:r>
          </w:p>
        </w:tc>
      </w:tr>
      <w:tr w14:paraId="4F4D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A5A47EC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效益指标</w:t>
            </w:r>
          </w:p>
        </w:tc>
        <w:tc>
          <w:tcPr>
            <w:tcW w:w="1702" w:type="dxa"/>
          </w:tcPr>
          <w:p w14:paraId="5DC58D64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经济效益指标</w:t>
            </w:r>
          </w:p>
        </w:tc>
        <w:tc>
          <w:tcPr>
            <w:tcW w:w="2018" w:type="dxa"/>
          </w:tcPr>
          <w:p w14:paraId="5DFC73B0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班主任工作经费使用达标率</w:t>
            </w:r>
          </w:p>
        </w:tc>
        <w:tc>
          <w:tcPr>
            <w:tcW w:w="846" w:type="dxa"/>
          </w:tcPr>
          <w:p w14:paraId="2554F048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≥</w:t>
            </w:r>
          </w:p>
        </w:tc>
        <w:tc>
          <w:tcPr>
            <w:tcW w:w="1159" w:type="dxa"/>
          </w:tcPr>
          <w:p w14:paraId="7B7CD691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90</w:t>
            </w:r>
          </w:p>
        </w:tc>
        <w:tc>
          <w:tcPr>
            <w:tcW w:w="1200" w:type="dxa"/>
          </w:tcPr>
          <w:p w14:paraId="4CA44ED8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%</w:t>
            </w:r>
          </w:p>
        </w:tc>
      </w:tr>
      <w:tr w14:paraId="1F32C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97BAF76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满意度指标</w:t>
            </w:r>
          </w:p>
        </w:tc>
        <w:tc>
          <w:tcPr>
            <w:tcW w:w="1702" w:type="dxa"/>
          </w:tcPr>
          <w:p w14:paraId="47393CE1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服务对象满意度</w:t>
            </w:r>
          </w:p>
        </w:tc>
        <w:tc>
          <w:tcPr>
            <w:tcW w:w="2018" w:type="dxa"/>
          </w:tcPr>
          <w:p w14:paraId="4736FAB1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教师队伍建设稳定性</w:t>
            </w:r>
          </w:p>
        </w:tc>
        <w:tc>
          <w:tcPr>
            <w:tcW w:w="846" w:type="dxa"/>
          </w:tcPr>
          <w:p w14:paraId="13205801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定性</w:t>
            </w:r>
          </w:p>
        </w:tc>
        <w:tc>
          <w:tcPr>
            <w:tcW w:w="1159" w:type="dxa"/>
          </w:tcPr>
          <w:p w14:paraId="470557A9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  <w:t>好坏</w:t>
            </w:r>
          </w:p>
        </w:tc>
        <w:tc>
          <w:tcPr>
            <w:tcW w:w="1200" w:type="dxa"/>
          </w:tcPr>
          <w:p w14:paraId="312976A9"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vertAlign w:val="baseline"/>
                <w:lang w:eastAsia="zh-CN" w:bidi="ar"/>
              </w:rPr>
            </w:pPr>
          </w:p>
        </w:tc>
      </w:tr>
    </w:tbl>
    <w:p w14:paraId="0E3C7D3C">
      <w:pPr>
        <w:spacing w:line="552" w:lineRule="exact"/>
        <w:ind w:firstLine="640" w:firstLineChars="20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（三）绩效评价工作过程。</w:t>
      </w:r>
    </w:p>
    <w:p w14:paraId="5E37ED53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Cs w:val="32"/>
          <w:shd w:val="clear" w:color="auto" w:fill="FFFFFF"/>
        </w:rPr>
        <w:t>为加强财政预算项目支出绩效评价工作，我单位召开</w:t>
      </w:r>
    </w:p>
    <w:p w14:paraId="29BDB090">
      <w:pPr>
        <w:widowControl/>
        <w:spacing w:line="560" w:lineRule="exact"/>
        <w:jc w:val="left"/>
        <w:rPr>
          <w:rFonts w:hint="eastAsia" w:hAnsi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  <w:shd w:val="clear" w:color="auto" w:fill="FFFFFF"/>
        </w:rPr>
        <w:t>了绩效评价专题会议，明确评价对象、评价工作目标及评价要求;互成项目支出绩效评价工作小组，了解项目总体情况、绩效评价政策、评价标准，收集相关资料。通过查阅相关的财务会计报表、账簿、会计凭证，了解项目资金收支情况、项目资金到位情况、实际支出情况和财务管理状况；核实和统计相关数据资料，评价该项目预期目标实现情况。召开评价工作小组会议，组织讨论，评价打分，形成评价结论，提出存在问题、建议和意见，撰写评价报告。</w:t>
      </w:r>
    </w:p>
    <w:p w14:paraId="0DB47037">
      <w:pPr>
        <w:spacing w:line="552" w:lineRule="exact"/>
        <w:ind w:firstLine="640" w:firstLineChars="200"/>
        <w:rPr>
          <w:rFonts w:hint="eastAsia" w:ascii="黑体" w:hAnsi="仿宋" w:eastAsia="黑体"/>
          <w:color w:val="auto"/>
          <w:szCs w:val="32"/>
        </w:rPr>
      </w:pPr>
      <w:r>
        <w:rPr>
          <w:rFonts w:hint="eastAsia" w:ascii="黑体" w:hAnsi="仿宋" w:eastAsia="黑体"/>
          <w:color w:val="auto"/>
          <w:szCs w:val="32"/>
        </w:rPr>
        <w:t>三、综合评价情况及评价结论</w:t>
      </w:r>
    </w:p>
    <w:p w14:paraId="59D79130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为了全面、客观、有效地进行绩效评价，评价工作小组查阅项目档案，收集相关信息资料，采取定性和定量分析方法，对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bidi="ar"/>
        </w:rPr>
        <w:t>教师队伍建设</w:t>
      </w:r>
      <w:r>
        <w:rPr>
          <w:rFonts w:hint="eastAsia" w:ascii="仿宋" w:hAnsi="仿宋" w:eastAsia="仿宋" w:cs="仿宋"/>
          <w:color w:val="auto"/>
          <w:szCs w:val="32"/>
        </w:rPr>
        <w:t>项目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资金落实情况、业务管理、资金管理、财务管理、项目产出和项目效益等方面进行综合评价。通过认真细致的准备、实施和分析，</w:t>
      </w:r>
      <w:r>
        <w:rPr>
          <w:rFonts w:ascii="仿宋" w:hAnsi="仿宋" w:eastAsia="仿宋" w:cs="黑体"/>
          <w:color w:val="auto"/>
          <w:szCs w:val="32"/>
        </w:rPr>
        <w:t>综合事务</w:t>
      </w:r>
      <w:r>
        <w:rPr>
          <w:rFonts w:hint="eastAsia" w:ascii="仿宋" w:hAnsi="仿宋" w:eastAsia="仿宋" w:cs="仿宋"/>
          <w:color w:val="auto"/>
          <w:szCs w:val="32"/>
        </w:rPr>
        <w:t>项目</w:t>
      </w: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支出基本能按要求使用和分配专项资金，没有发现擅自调项、扩项、缩项的现象，做到了专款专用，审批程序基本规范，项目监督程序基本到位；组织机构和管理制度比较健全、基础资料相对齐全。</w:t>
      </w:r>
    </w:p>
    <w:p w14:paraId="2E6C07D4">
      <w:pPr>
        <w:widowControl/>
        <w:spacing w:line="560" w:lineRule="exact"/>
        <w:ind w:firstLine="640" w:firstLineChars="200"/>
        <w:jc w:val="left"/>
        <w:rPr>
          <w:rFonts w:hint="eastAsia" w:ascii="黑体" w:hAnsi="仿宋" w:eastAsia="黑体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Cs w:val="32"/>
          <w:lang w:bidi="ar"/>
        </w:rPr>
        <w:t>绩效评价组从</w:t>
      </w:r>
      <w:r>
        <w:rPr>
          <w:rFonts w:hint="eastAsia" w:ascii="仿宋" w:hAnsi="仿宋" w:eastAsia="仿宋" w:cs="仿宋"/>
          <w:color w:val="auto"/>
          <w:szCs w:val="32"/>
        </w:rPr>
        <w:t>2025年度绩效指标达成情况、资金分配、资金到位、资金管理、组织实施、项目效果等方面落实情况较好。科学合理，规范到位，综合绩效评价结果为“优”。</w:t>
      </w:r>
    </w:p>
    <w:p w14:paraId="42CA2C66">
      <w:pPr>
        <w:spacing w:line="552" w:lineRule="exact"/>
        <w:ind w:firstLine="640" w:firstLineChars="200"/>
        <w:rPr>
          <w:rFonts w:hint="eastAsia" w:ascii="黑体" w:hAnsi="仿宋" w:eastAsia="黑体"/>
          <w:color w:val="auto"/>
          <w:szCs w:val="32"/>
        </w:rPr>
      </w:pPr>
      <w:r>
        <w:rPr>
          <w:rFonts w:hint="eastAsia" w:ascii="黑体" w:hAnsi="仿宋" w:eastAsia="黑体"/>
          <w:color w:val="auto"/>
          <w:szCs w:val="32"/>
        </w:rPr>
        <w:t>四、绩效评价指标分析</w:t>
      </w:r>
    </w:p>
    <w:p w14:paraId="6DEE70A0">
      <w:pPr>
        <w:spacing w:line="552" w:lineRule="exact"/>
        <w:ind w:firstLine="640" w:firstLineChars="200"/>
        <w:outlineLvl w:val="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（一）项目决策情况。</w:t>
      </w:r>
    </w:p>
    <w:p w14:paraId="2E427842">
      <w:pPr>
        <w:spacing w:line="552" w:lineRule="exact"/>
        <w:ind w:firstLine="640" w:firstLineChars="200"/>
        <w:outlineLvl w:val="0"/>
        <w:rPr>
          <w:rFonts w:hint="eastAsia" w:ascii="仿宋" w:hAnsi="仿宋" w:eastAsia="仿宋" w:cs="黑体"/>
          <w:color w:val="auto"/>
          <w:szCs w:val="32"/>
        </w:rPr>
      </w:pPr>
      <w:r>
        <w:rPr>
          <w:rFonts w:hint="eastAsia" w:ascii="仿宋" w:hAnsi="仿宋" w:eastAsia="仿宋" w:cs="黑体"/>
          <w:color w:val="auto"/>
          <w:szCs w:val="32"/>
        </w:rPr>
        <w:t>项目为我</w:t>
      </w:r>
      <w:r>
        <w:rPr>
          <w:rFonts w:hint="eastAsia" w:ascii="仿宋" w:hAnsi="仿宋" w:eastAsia="仿宋" w:cs="黑体"/>
          <w:color w:val="auto"/>
          <w:szCs w:val="32"/>
          <w:lang w:eastAsia="zh-CN"/>
        </w:rPr>
        <w:t>校</w:t>
      </w:r>
      <w:r>
        <w:rPr>
          <w:rFonts w:hint="eastAsia" w:ascii="仿宋" w:hAnsi="仿宋" w:eastAsia="仿宋" w:cs="黑体"/>
          <w:color w:val="auto"/>
          <w:szCs w:val="32"/>
        </w:rPr>
        <w:t>经常性项目</w:t>
      </w:r>
      <w:r>
        <w:rPr>
          <w:rFonts w:hint="eastAsia" w:hAnsi="仿宋"/>
          <w:color w:val="auto"/>
          <w:szCs w:val="32"/>
        </w:rPr>
        <w:t>，</w:t>
      </w:r>
      <w:r>
        <w:rPr>
          <w:rFonts w:hint="eastAsia" w:ascii="仿宋" w:hAnsi="仿宋" w:eastAsia="仿宋" w:cs="黑体"/>
          <w:color w:val="auto"/>
          <w:szCs w:val="32"/>
        </w:rPr>
        <w:t>主要用于保障2025年度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年度</w:t>
      </w:r>
      <w:r>
        <w:rPr>
          <w:rFonts w:hint="eastAsia" w:ascii="仿宋" w:hAnsi="仿宋" w:eastAsia="仿宋" w:cs="黑体"/>
          <w:color w:val="auto"/>
          <w:sz w:val="32"/>
          <w:szCs w:val="32"/>
          <w:lang w:eastAsia="zh-CN"/>
        </w:rPr>
        <w:t>学校正常运行，支付临聘教师的工资以及班主任工作经费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。</w:t>
      </w:r>
    </w:p>
    <w:p w14:paraId="4E5C7561">
      <w:pPr>
        <w:spacing w:line="552" w:lineRule="exact"/>
        <w:ind w:firstLine="640" w:firstLineChars="200"/>
        <w:outlineLvl w:val="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（二）项目过程情况。</w:t>
      </w:r>
    </w:p>
    <w:p w14:paraId="417B241B">
      <w:pPr>
        <w:spacing w:line="552" w:lineRule="exact"/>
        <w:ind w:firstLine="640" w:firstLineChars="200"/>
        <w:outlineLvl w:val="0"/>
        <w:rPr>
          <w:rFonts w:hint="eastAsia" w:hAnsi="仿宋" w:eastAsia="仿宋_GB2312"/>
          <w:color w:val="auto"/>
          <w:szCs w:val="32"/>
          <w:lang w:eastAsia="zh-CN"/>
        </w:rPr>
      </w:pPr>
      <w:r>
        <w:rPr>
          <w:rFonts w:hint="eastAsia" w:hAnsi="仿宋"/>
          <w:color w:val="auto"/>
          <w:szCs w:val="32"/>
        </w:rPr>
        <w:t>项目2025年预算资金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544.80</w:t>
      </w:r>
      <w:r>
        <w:rPr>
          <w:rFonts w:hint="eastAsia" w:hAnsi="仿宋"/>
          <w:color w:val="auto"/>
          <w:szCs w:val="32"/>
        </w:rPr>
        <w:t>元。支付时严格按照</w:t>
      </w:r>
      <w:r>
        <w:rPr>
          <w:rFonts w:hint="eastAsia" w:hAnsi="仿宋"/>
          <w:color w:val="auto"/>
          <w:szCs w:val="32"/>
          <w:lang w:eastAsia="zh-CN"/>
        </w:rPr>
        <w:t>海南华侨中学长彤学校内控制度</w:t>
      </w:r>
      <w:r>
        <w:rPr>
          <w:rFonts w:hint="eastAsia" w:hAnsi="仿宋"/>
          <w:color w:val="auto"/>
          <w:szCs w:val="32"/>
        </w:rPr>
        <w:t>办理。项目所有资金实行专款专用，支出均有相关的授权审批，资金拨付严格审批程序。此次绩效评价过程中未发现有截留、挤占或挪用项目资金的情况</w:t>
      </w:r>
      <w:r>
        <w:rPr>
          <w:rFonts w:hint="eastAsia" w:hAnsi="仿宋"/>
          <w:color w:val="auto"/>
          <w:szCs w:val="32"/>
          <w:lang w:eastAsia="zh-CN"/>
        </w:rPr>
        <w:t>。</w:t>
      </w:r>
    </w:p>
    <w:p w14:paraId="06B8D3C6">
      <w:pPr>
        <w:spacing w:line="552" w:lineRule="exact"/>
        <w:ind w:firstLine="640" w:firstLineChars="200"/>
        <w:outlineLvl w:val="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（三）项目产出情况。</w:t>
      </w:r>
    </w:p>
    <w:p w14:paraId="00E65FF0">
      <w:pPr>
        <w:spacing w:line="552" w:lineRule="exact"/>
        <w:ind w:firstLine="640" w:firstLineChars="200"/>
        <w:outlineLvl w:val="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项目2025年实际使用资金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544.8万</w:t>
      </w:r>
      <w:r>
        <w:rPr>
          <w:rFonts w:hint="eastAsia" w:ascii="仿宋" w:hAnsi="仿宋" w:eastAsia="仿宋" w:cs="仿宋"/>
          <w:color w:val="auto"/>
          <w:szCs w:val="32"/>
        </w:rPr>
        <w:t>元</w:t>
      </w:r>
    </w:p>
    <w:p w14:paraId="33A52FCC">
      <w:pPr>
        <w:spacing w:line="552" w:lineRule="exact"/>
        <w:ind w:firstLine="640" w:firstLineChars="200"/>
        <w:outlineLvl w:val="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（四）项目效益情况。</w:t>
      </w:r>
    </w:p>
    <w:p w14:paraId="7CD70296">
      <w:pPr>
        <w:spacing w:line="552" w:lineRule="exact"/>
        <w:ind w:firstLine="640" w:firstLineChars="200"/>
        <w:outlineLvl w:val="0"/>
        <w:rPr>
          <w:rFonts w:hint="eastAsia" w:hAnsi="仿宋"/>
          <w:color w:val="auto"/>
          <w:szCs w:val="32"/>
        </w:rPr>
      </w:pPr>
      <w:r>
        <w:rPr>
          <w:rFonts w:hint="eastAsia" w:hAnsi="仿宋"/>
          <w:color w:val="auto"/>
          <w:szCs w:val="32"/>
        </w:rPr>
        <w:t>项目资金支出率为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90.49</w:t>
      </w:r>
      <w:r>
        <w:rPr>
          <w:rFonts w:ascii="仿宋" w:hAnsi="仿宋" w:eastAsia="仿宋"/>
          <w:color w:val="auto"/>
          <w:szCs w:val="32"/>
        </w:rPr>
        <w:t>%</w:t>
      </w:r>
      <w:r>
        <w:rPr>
          <w:rFonts w:hint="eastAsia" w:hAnsi="仿宋"/>
          <w:color w:val="auto"/>
          <w:szCs w:val="32"/>
        </w:rPr>
        <w:t>。在使用过程中，严格按照合同的约定进行付款、控制成本。</w:t>
      </w:r>
    </w:p>
    <w:p w14:paraId="65351AEB">
      <w:pPr>
        <w:spacing w:line="552" w:lineRule="exact"/>
        <w:ind w:firstLine="640" w:firstLineChars="200"/>
        <w:rPr>
          <w:rFonts w:hint="eastAsia" w:ascii="黑体" w:hAnsi="仿宋" w:eastAsia="黑体"/>
          <w:szCs w:val="32"/>
        </w:rPr>
      </w:pPr>
      <w:r>
        <w:rPr>
          <w:rFonts w:hint="eastAsia" w:ascii="黑体" w:hAnsi="仿宋" w:eastAsia="黑体"/>
          <w:color w:val="auto"/>
          <w:szCs w:val="32"/>
        </w:rPr>
        <w:t>五、主要经验及做法、存在的问题</w:t>
      </w:r>
      <w:r>
        <w:rPr>
          <w:rFonts w:hint="eastAsia" w:ascii="黑体" w:hAnsi="仿宋" w:eastAsia="黑体"/>
          <w:szCs w:val="32"/>
        </w:rPr>
        <w:t>及原因分析</w:t>
      </w:r>
    </w:p>
    <w:p w14:paraId="65C9A9C7">
      <w:pPr>
        <w:spacing w:line="578" w:lineRule="exact"/>
        <w:ind w:firstLine="630"/>
        <w:outlineLvl w:val="0"/>
        <w:rPr>
          <w:rFonts w:ascii="仿宋" w:hAnsi="仿宋" w:eastAsia="仿宋" w:cs="宋体"/>
          <w:kern w:val="0"/>
          <w:szCs w:val="32"/>
        </w:rPr>
      </w:pPr>
      <w:r>
        <w:rPr>
          <w:rFonts w:hint="eastAsia" w:ascii="仿宋" w:hAnsi="仿宋" w:eastAsia="仿宋" w:cs="宋体"/>
          <w:kern w:val="0"/>
          <w:szCs w:val="32"/>
        </w:rPr>
        <w:t>该项目预算目标明确，编制合理，资金支出严格按照会计核算，各项费用申报、审核、审批手续完备，会计基础工作较好。</w:t>
      </w:r>
    </w:p>
    <w:p w14:paraId="429A4788">
      <w:pPr>
        <w:spacing w:line="552" w:lineRule="exact"/>
        <w:ind w:firstLine="640" w:firstLineChars="200"/>
        <w:rPr>
          <w:rFonts w:hint="eastAsia" w:ascii="黑体" w:hAnsi="仿宋" w:eastAsia="黑体"/>
          <w:szCs w:val="32"/>
        </w:rPr>
      </w:pPr>
      <w:r>
        <w:rPr>
          <w:rFonts w:hint="eastAsia" w:ascii="黑体" w:hAnsi="仿宋" w:eastAsia="黑体"/>
          <w:szCs w:val="32"/>
        </w:rPr>
        <w:t>六、有关建议</w:t>
      </w:r>
    </w:p>
    <w:p w14:paraId="7736E7DA">
      <w:pPr>
        <w:spacing w:line="552" w:lineRule="exact"/>
        <w:ind w:firstLine="640" w:firstLineChars="200"/>
        <w:outlineLvl w:val="0"/>
        <w:rPr>
          <w:rFonts w:hint="eastAsia" w:hAnsi="仿宋"/>
          <w:szCs w:val="32"/>
        </w:rPr>
      </w:pPr>
      <w:r>
        <w:rPr>
          <w:rFonts w:hint="eastAsia" w:hAnsi="仿宋"/>
          <w:szCs w:val="32"/>
        </w:rPr>
        <w:t>无。</w:t>
      </w:r>
    </w:p>
    <w:p w14:paraId="08D971B2">
      <w:pPr>
        <w:spacing w:line="552" w:lineRule="exact"/>
        <w:ind w:firstLine="640" w:firstLineChars="200"/>
        <w:rPr>
          <w:rFonts w:hint="eastAsia" w:ascii="黑体" w:hAnsi="仿宋" w:eastAsia="黑体" w:cs="仿宋"/>
          <w:szCs w:val="32"/>
        </w:rPr>
      </w:pPr>
      <w:r>
        <w:rPr>
          <w:rFonts w:hint="eastAsia" w:ascii="黑体" w:hAnsi="仿宋" w:eastAsia="黑体"/>
          <w:szCs w:val="32"/>
        </w:rPr>
        <w:t>七、其他需要说明的问题</w:t>
      </w:r>
    </w:p>
    <w:p w14:paraId="42E1E40C">
      <w:pPr>
        <w:ind w:firstLine="640" w:firstLineChars="200"/>
        <w:rPr>
          <w:rFonts w:hint="eastAsia"/>
          <w:lang w:eastAsia="zh-CN"/>
        </w:rPr>
      </w:pPr>
      <w:r>
        <w:rPr>
          <w:rFonts w:hint="eastAsia"/>
        </w:rPr>
        <w:t>无</w:t>
      </w:r>
      <w:r>
        <w:rPr>
          <w:rFonts w:hint="eastAsia"/>
          <w:lang w:eastAsia="zh-CN"/>
        </w:rPr>
        <w:t>。</w:t>
      </w:r>
    </w:p>
    <w:p w14:paraId="3AC8AC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603AF"/>
    <w:rsid w:val="47403490"/>
    <w:rsid w:val="6492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0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Office_12.8.2.19823_F1E327BC-269C-435d-A152-05C5408002CA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2026-03-24T02:33:00Z</dcterms:created>
  <dc:creator>Administrator</dc:creator>
  <cp:lastModifiedBy>Administrator</cp:lastModifiedBy>
  <dcterms:modified xsi:type="dcterms:W3CDTF">2026-03-24T02:58:30Z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2052-12.8.2.19823</vt:lpwstr>
  </property>
  <property fmtid="{D5CDD505-2E9C-101B-9397-08002B2CF9AE}" pid="3" name="ICV">
    <vt:lpwstr>29095B063855475BBD05C60B400B3F07_12</vt:lpwstr>
  </property>
</Properties>
</file>